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7BA82CC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70D93">
        <w:rPr>
          <w:rFonts w:ascii="Tahoma" w:hAnsi="Tahoma" w:cs="Tahoma"/>
          <w:sz w:val="20"/>
          <w:szCs w:val="20"/>
        </w:rPr>
        <w:t>28</w:t>
      </w:r>
      <w:r w:rsidR="00D17F96">
        <w:rPr>
          <w:rFonts w:ascii="Tahoma" w:hAnsi="Tahoma" w:cs="Tahoma"/>
          <w:sz w:val="20"/>
          <w:szCs w:val="20"/>
        </w:rPr>
        <w:t xml:space="preserve">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4EC3B3D3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170D93">
        <w:rPr>
          <w:rFonts w:ascii="Tahoma" w:hAnsi="Tahoma" w:cs="Tahoma"/>
          <w:sz w:val="20"/>
          <w:szCs w:val="20"/>
        </w:rPr>
        <w:t>9</w:t>
      </w:r>
      <w:r w:rsidR="000307B5">
        <w:rPr>
          <w:rFonts w:ascii="Tahoma" w:hAnsi="Tahoma" w:cs="Tahoma"/>
          <w:sz w:val="20"/>
          <w:szCs w:val="20"/>
        </w:rPr>
        <w:t>:00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B3D2BA9" w14:textId="600BAB1E" w:rsidR="00DB4EEB" w:rsidRPr="00993122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69B863D0" w:rsidR="001D0E3A" w:rsidRDefault="00BD61B9" w:rsidP="002524D7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A6B41B" w14:textId="77C26255" w:rsidR="00025DB7" w:rsidRDefault="00025DB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74358CD" w14:textId="6B92E3CF" w:rsidR="006636D0" w:rsidRDefault="006636D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D3A74E8" w14:textId="77777777" w:rsidR="00696F6A" w:rsidRPr="007B058A" w:rsidRDefault="00696F6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6636D0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6636D0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6636D0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5FDF33DF" w14:textId="6DB2AF79" w:rsidR="00025DB7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7B02B0A9" w14:textId="77777777" w:rsidR="006636D0" w:rsidRPr="006636D0" w:rsidRDefault="006636D0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657D972" w14:textId="31403F67" w:rsidR="002F2CB5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6636D0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6636D0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08CD1D93" w14:textId="77777777" w:rsidR="006636D0" w:rsidRPr="006636D0" w:rsidRDefault="006636D0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B7DD0D4" w14:textId="77777777" w:rsidR="00025DB7" w:rsidRPr="006636D0" w:rsidRDefault="00025DB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6294246" w14:textId="3FF44AFF" w:rsidR="00D328A0" w:rsidRDefault="001A560F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6636D0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4B7023"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</w:t>
      </w:r>
      <w:r w:rsidR="004A152E"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Sesión </w:t>
      </w:r>
      <w:r w:rsidR="004B7023"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>anterior</w:t>
      </w:r>
      <w:r w:rsidR="00E432C9"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fecha </w:t>
      </w:r>
      <w:r w:rsidR="00E157D9"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27 de agosto </w:t>
      </w:r>
      <w:r w:rsidR="00E432C9"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>de 2020</w:t>
      </w:r>
      <w:r w:rsidR="004B7023" w:rsidRPr="006636D0">
        <w:rPr>
          <w:rFonts w:ascii="Tahoma" w:eastAsiaTheme="minorHAnsi" w:hAnsi="Tahoma" w:cs="Tahoma"/>
          <w:sz w:val="28"/>
          <w:szCs w:val="28"/>
          <w:lang w:val="es-US" w:eastAsia="en-US"/>
        </w:rPr>
        <w:t>, y en su caso, aprobación.</w:t>
      </w:r>
    </w:p>
    <w:p w14:paraId="19EDF420" w14:textId="77777777" w:rsidR="006636D0" w:rsidRPr="006636D0" w:rsidRDefault="006636D0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368C49B" w14:textId="69F74117" w:rsidR="007242CE" w:rsidRPr="006636D0" w:rsidRDefault="007242CE" w:rsidP="00147D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4B915370" w14:textId="77777777" w:rsidR="00E157D9" w:rsidRPr="006636D0" w:rsidRDefault="007C0B07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  <w:r w:rsidRPr="006636D0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4.-</w:t>
      </w:r>
      <w:r w:rsidR="005358F3" w:rsidRPr="006636D0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="00E157D9" w:rsidRPr="006636D0">
        <w:rPr>
          <w:rStyle w:val="bumpedfont15"/>
          <w:rFonts w:ascii="Tahoma" w:hAnsi="Tahoma" w:cs="Tahoma"/>
          <w:color w:val="000000"/>
          <w:sz w:val="28"/>
          <w:szCs w:val="28"/>
        </w:rPr>
        <w:t>Informe de los Asuntos turnados a la Comisión de Igualdad de Género.</w:t>
      </w:r>
      <w:r w:rsidR="00E157D9"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14:paraId="213ADAE9" w14:textId="58BB4125" w:rsidR="00E157D9" w:rsidRDefault="00E157D9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  <w:r w:rsidRPr="006636D0">
        <w:rPr>
          <w:rFonts w:ascii="Tahoma" w:hAnsi="Tahoma" w:cs="Tahoma"/>
          <w:color w:val="000000"/>
          <w:sz w:val="28"/>
          <w:szCs w:val="28"/>
        </w:rPr>
        <w:t> </w:t>
      </w:r>
    </w:p>
    <w:p w14:paraId="22BF1A42" w14:textId="77777777" w:rsidR="006636D0" w:rsidRPr="006636D0" w:rsidRDefault="006636D0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</w:p>
    <w:p w14:paraId="69ECF3B5" w14:textId="01672B29" w:rsidR="00E157D9" w:rsidRDefault="00E157D9">
      <w:pPr>
        <w:pStyle w:val="s10"/>
        <w:spacing w:before="0" w:beforeAutospacing="0" w:after="0" w:afterAutospacing="0"/>
        <w:jc w:val="both"/>
        <w:divId w:val="1430857778"/>
        <w:rPr>
          <w:rStyle w:val="bumpedfont15"/>
          <w:rFonts w:ascii="Tahoma" w:hAnsi="Tahoma" w:cs="Tahoma"/>
          <w:color w:val="000000"/>
          <w:sz w:val="28"/>
          <w:szCs w:val="28"/>
        </w:rPr>
      </w:pPr>
      <w:r w:rsidRPr="006636D0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5.-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Lectura del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Dictamen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con Minuta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de Decreto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por virtud del cual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se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reforma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la fracción III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del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artículo 10 de la Ley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para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el Acceso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de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las Mujeres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a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una Vida Libre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de Violencia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del Estado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de Puebla; y en su caso, aprobación.</w:t>
      </w:r>
    </w:p>
    <w:p w14:paraId="6DEF7A11" w14:textId="77777777" w:rsidR="00696F6A" w:rsidRPr="006636D0" w:rsidRDefault="00696F6A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</w:p>
    <w:p w14:paraId="424E6981" w14:textId="77777777" w:rsidR="00E157D9" w:rsidRPr="006636D0" w:rsidRDefault="00E157D9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  <w:r w:rsidRPr="006636D0">
        <w:rPr>
          <w:rFonts w:ascii="Tahoma" w:hAnsi="Tahoma" w:cs="Tahoma"/>
          <w:color w:val="000000"/>
          <w:sz w:val="28"/>
          <w:szCs w:val="28"/>
        </w:rPr>
        <w:t> </w:t>
      </w:r>
    </w:p>
    <w:p w14:paraId="55325247" w14:textId="77777777" w:rsidR="00E157D9" w:rsidRPr="006636D0" w:rsidRDefault="00E157D9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  <w:r w:rsidRPr="006636D0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6.-</w:t>
      </w:r>
      <w:r w:rsidRPr="006636D0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Informe de actividades del segundo año de la Comisión de Igualdad de Género</w:t>
      </w:r>
      <w:r w:rsidRPr="006636D0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.</w:t>
      </w:r>
    </w:p>
    <w:p w14:paraId="068B5486" w14:textId="172AC488" w:rsidR="00E157D9" w:rsidRDefault="00E157D9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  <w:r w:rsidRPr="006636D0">
        <w:rPr>
          <w:rFonts w:ascii="Tahoma" w:hAnsi="Tahoma" w:cs="Tahoma"/>
          <w:color w:val="000000"/>
          <w:sz w:val="28"/>
          <w:szCs w:val="28"/>
        </w:rPr>
        <w:t> </w:t>
      </w:r>
    </w:p>
    <w:p w14:paraId="5EC25911" w14:textId="77777777" w:rsidR="00696F6A" w:rsidRPr="006636D0" w:rsidRDefault="00696F6A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</w:p>
    <w:p w14:paraId="2A364D48" w14:textId="77777777" w:rsidR="00E157D9" w:rsidRPr="006636D0" w:rsidRDefault="00E157D9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  <w:r w:rsidRPr="006636D0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7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.- Informe de las actividades realizadas por el Grupo para la Igualdad Laboral y No Discriminación del Honorable Congreso del Estado de Puebla.</w:t>
      </w:r>
    </w:p>
    <w:p w14:paraId="003F8A44" w14:textId="60DFBBD6" w:rsidR="00E157D9" w:rsidRDefault="00E157D9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  <w:r w:rsidRPr="006636D0">
        <w:rPr>
          <w:rFonts w:ascii="Tahoma" w:hAnsi="Tahoma" w:cs="Tahoma"/>
          <w:color w:val="000000"/>
          <w:sz w:val="28"/>
          <w:szCs w:val="28"/>
        </w:rPr>
        <w:t> </w:t>
      </w:r>
    </w:p>
    <w:p w14:paraId="0235F8B5" w14:textId="77777777" w:rsidR="00696F6A" w:rsidRPr="006636D0" w:rsidRDefault="00696F6A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</w:p>
    <w:p w14:paraId="20A814A4" w14:textId="77777777" w:rsidR="00E157D9" w:rsidRPr="006636D0" w:rsidRDefault="00E157D9">
      <w:pPr>
        <w:pStyle w:val="s10"/>
        <w:spacing w:before="0" w:beforeAutospacing="0" w:after="0" w:afterAutospacing="0"/>
        <w:jc w:val="both"/>
        <w:divId w:val="1430857778"/>
        <w:rPr>
          <w:rFonts w:ascii="Tahoma" w:hAnsi="Tahoma" w:cs="Tahoma"/>
          <w:color w:val="000000"/>
          <w:sz w:val="28"/>
          <w:szCs w:val="28"/>
        </w:rPr>
      </w:pPr>
      <w:r w:rsidRPr="006636D0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8.-</w:t>
      </w:r>
      <w:r w:rsidRPr="006636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636D0">
        <w:rPr>
          <w:rStyle w:val="bumpedfont15"/>
          <w:rFonts w:ascii="Tahoma" w:hAnsi="Tahoma" w:cs="Tahoma"/>
          <w:color w:val="000000"/>
          <w:sz w:val="28"/>
          <w:szCs w:val="28"/>
        </w:rPr>
        <w:t>Asuntos Generales.</w:t>
      </w:r>
    </w:p>
    <w:p w14:paraId="10A118BE" w14:textId="6B2CAB6C" w:rsidR="003F04DC" w:rsidRPr="006636D0" w:rsidRDefault="003F04DC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hAnsi="Tahoma" w:cs="Tahoma"/>
          <w:color w:val="000000"/>
          <w:sz w:val="28"/>
          <w:szCs w:val="28"/>
        </w:rPr>
      </w:pPr>
    </w:p>
    <w:p w14:paraId="47CF162E" w14:textId="77777777" w:rsidR="00501A7D" w:rsidRPr="006636D0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8"/>
          <w:szCs w:val="28"/>
          <w:lang w:val="es-MX" w:eastAsia="en-US"/>
        </w:rPr>
      </w:pPr>
    </w:p>
    <w:sectPr w:rsidR="00501A7D" w:rsidRPr="006636D0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32C4" w14:textId="77777777" w:rsidR="001A6647" w:rsidRDefault="001A6647">
      <w:r>
        <w:separator/>
      </w:r>
    </w:p>
  </w:endnote>
  <w:endnote w:type="continuationSeparator" w:id="0">
    <w:p w14:paraId="2C880A08" w14:textId="77777777" w:rsidR="001A6647" w:rsidRDefault="001A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50DE" w14:textId="77777777" w:rsidR="001A6647" w:rsidRDefault="001A6647">
      <w:r>
        <w:separator/>
      </w:r>
    </w:p>
  </w:footnote>
  <w:footnote w:type="continuationSeparator" w:id="0">
    <w:p w14:paraId="22D29C5C" w14:textId="77777777" w:rsidR="001A6647" w:rsidRDefault="001A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B89F7B9" w:rsidR="00C66D09" w:rsidRPr="00C66D09" w:rsidRDefault="00D17F96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3C8561FA" w:rsidR="002253E6" w:rsidRPr="00C30853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170D93">
      <w:rPr>
        <w:rFonts w:ascii="Tahoma" w:hAnsi="Tahoma" w:cs="Tahoma"/>
        <w:b/>
        <w:bCs/>
        <w:sz w:val="34"/>
        <w:szCs w:val="34"/>
      </w:rPr>
      <w:t>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5DB7"/>
    <w:rsid w:val="000307B5"/>
    <w:rsid w:val="00032D4C"/>
    <w:rsid w:val="00052731"/>
    <w:rsid w:val="000647AB"/>
    <w:rsid w:val="000761D2"/>
    <w:rsid w:val="00086927"/>
    <w:rsid w:val="000A7E06"/>
    <w:rsid w:val="000C11E5"/>
    <w:rsid w:val="000D2685"/>
    <w:rsid w:val="000E1BA6"/>
    <w:rsid w:val="000E76A8"/>
    <w:rsid w:val="000F1978"/>
    <w:rsid w:val="00115789"/>
    <w:rsid w:val="001160F1"/>
    <w:rsid w:val="00120D2C"/>
    <w:rsid w:val="001348C1"/>
    <w:rsid w:val="00147D9A"/>
    <w:rsid w:val="001502FA"/>
    <w:rsid w:val="00150CD8"/>
    <w:rsid w:val="00170D93"/>
    <w:rsid w:val="001877A0"/>
    <w:rsid w:val="00197717"/>
    <w:rsid w:val="001A52CB"/>
    <w:rsid w:val="001A560F"/>
    <w:rsid w:val="001A6647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524D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572E"/>
    <w:rsid w:val="00375251"/>
    <w:rsid w:val="00377E9C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81CD7"/>
    <w:rsid w:val="004A152E"/>
    <w:rsid w:val="004B40C8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36D0"/>
    <w:rsid w:val="00670605"/>
    <w:rsid w:val="00674A9D"/>
    <w:rsid w:val="006877AE"/>
    <w:rsid w:val="00696F6A"/>
    <w:rsid w:val="006A06E9"/>
    <w:rsid w:val="006A5C8D"/>
    <w:rsid w:val="006B6C7E"/>
    <w:rsid w:val="006C5E35"/>
    <w:rsid w:val="006E05FF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6C63"/>
    <w:rsid w:val="00767460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C2AF6"/>
    <w:rsid w:val="00BD4C01"/>
    <w:rsid w:val="00BD61B9"/>
    <w:rsid w:val="00BE5EAA"/>
    <w:rsid w:val="00C10F95"/>
    <w:rsid w:val="00C14137"/>
    <w:rsid w:val="00C30853"/>
    <w:rsid w:val="00C3201D"/>
    <w:rsid w:val="00C338E6"/>
    <w:rsid w:val="00C34DE0"/>
    <w:rsid w:val="00C66D09"/>
    <w:rsid w:val="00CA13F3"/>
    <w:rsid w:val="00CA7488"/>
    <w:rsid w:val="00CB5C98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57D9"/>
    <w:rsid w:val="00E17429"/>
    <w:rsid w:val="00E233CD"/>
    <w:rsid w:val="00E35DDB"/>
    <w:rsid w:val="00E432C9"/>
    <w:rsid w:val="00E60CA0"/>
    <w:rsid w:val="00E94630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0">
    <w:name w:val="s10"/>
    <w:basedOn w:val="Normal"/>
    <w:rsid w:val="00E157D9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6</cp:revision>
  <cp:lastPrinted>2020-09-03T19:35:00Z</cp:lastPrinted>
  <dcterms:created xsi:type="dcterms:W3CDTF">2020-09-25T17:59:00Z</dcterms:created>
  <dcterms:modified xsi:type="dcterms:W3CDTF">2020-09-25T18:02:00Z</dcterms:modified>
</cp:coreProperties>
</file>