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07D9FAB1"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6C786F">
        <w:rPr>
          <w:rFonts w:ascii="Tahoma" w:hAnsi="Tahoma" w:cs="Tahoma"/>
          <w:sz w:val="20"/>
          <w:szCs w:val="20"/>
        </w:rPr>
        <w:t>1 de junio</w:t>
      </w:r>
      <w:r w:rsidR="00DC3581">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6C786F">
        <w:rPr>
          <w:rFonts w:ascii="Tahoma" w:hAnsi="Tahoma" w:cs="Tahoma"/>
          <w:sz w:val="20"/>
          <w:szCs w:val="20"/>
          <w:lang w:val="es-MX"/>
        </w:rPr>
        <w:t>1</w:t>
      </w:r>
    </w:p>
    <w:p w14:paraId="638AFA47" w14:textId="06D5187B"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DC3581">
        <w:rPr>
          <w:rFonts w:ascii="Tahoma" w:hAnsi="Tahoma" w:cs="Tahoma"/>
          <w:sz w:val="20"/>
          <w:szCs w:val="20"/>
        </w:rPr>
        <w:t>1</w:t>
      </w:r>
      <w:r w:rsidR="001F7B8A">
        <w:rPr>
          <w:rFonts w:ascii="Tahoma" w:hAnsi="Tahoma" w:cs="Tahoma"/>
          <w:sz w:val="20"/>
          <w:szCs w:val="20"/>
        </w:rPr>
        <w:t>7</w:t>
      </w:r>
      <w:r w:rsidR="000307B5">
        <w:rPr>
          <w:rFonts w:ascii="Tahoma" w:hAnsi="Tahoma" w:cs="Tahoma"/>
          <w:sz w:val="20"/>
          <w:szCs w:val="20"/>
        </w:rPr>
        <w:t>:00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B3D2BA9" w14:textId="600BAB1E" w:rsidR="00DB4EEB" w:rsidRPr="00993122" w:rsidRDefault="001A560F" w:rsidP="00993122">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4C0EAF4" w14:textId="69B863D0" w:rsidR="001D0E3A" w:rsidRDefault="00BD61B9" w:rsidP="002524D7">
      <w:pPr>
        <w:jc w:val="center"/>
        <w:rPr>
          <w:rFonts w:ascii="Tahoma" w:eastAsiaTheme="minorHAnsi" w:hAnsi="Tahoma" w:cs="Tahoma"/>
          <w:b/>
          <w:i/>
          <w:lang w:val="es-US" w:eastAsia="en-US"/>
        </w:rPr>
      </w:pPr>
      <w:r>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A6B41B" w14:textId="2B910C33" w:rsidR="00025DB7" w:rsidRDefault="00025DB7" w:rsidP="00210B58">
      <w:pPr>
        <w:rPr>
          <w:rFonts w:ascii="Tahoma" w:eastAsiaTheme="minorHAnsi" w:hAnsi="Tahoma" w:cs="Tahoma"/>
          <w:b/>
          <w:i/>
          <w:lang w:val="es-US" w:eastAsia="en-US"/>
        </w:rPr>
      </w:pPr>
    </w:p>
    <w:p w14:paraId="179805F8" w14:textId="7663C3F0" w:rsidR="00776930" w:rsidRDefault="00776930" w:rsidP="00210B58">
      <w:pPr>
        <w:rPr>
          <w:rFonts w:ascii="Tahoma" w:eastAsiaTheme="minorHAnsi" w:hAnsi="Tahoma" w:cs="Tahoma"/>
          <w:b/>
          <w:i/>
          <w:lang w:val="es-US" w:eastAsia="en-US"/>
        </w:rPr>
      </w:pPr>
    </w:p>
    <w:p w14:paraId="6C60BA02" w14:textId="77777777" w:rsidR="00EA2CBD" w:rsidRDefault="00EA2CBD" w:rsidP="00210B58">
      <w:pPr>
        <w:rPr>
          <w:rFonts w:ascii="Tahoma" w:eastAsiaTheme="minorHAnsi" w:hAnsi="Tahoma" w:cs="Tahoma"/>
          <w:b/>
          <w:i/>
          <w:lang w:val="es-US" w:eastAsia="en-US"/>
        </w:rPr>
      </w:pPr>
    </w:p>
    <w:p w14:paraId="5C4068F2" w14:textId="77777777" w:rsidR="001F7B8A" w:rsidRPr="007B058A" w:rsidRDefault="001F7B8A" w:rsidP="00210B58">
      <w:pPr>
        <w:rPr>
          <w:rFonts w:ascii="Tahoma" w:eastAsiaTheme="minorHAnsi" w:hAnsi="Tahoma" w:cs="Tahoma"/>
          <w:b/>
          <w:i/>
          <w:lang w:val="es-US" w:eastAsia="en-US"/>
        </w:rPr>
      </w:pPr>
    </w:p>
    <w:p w14:paraId="0189AB1B" w14:textId="50730C86" w:rsidR="00834570" w:rsidRPr="002F2CB5" w:rsidRDefault="001A560F" w:rsidP="006C786F">
      <w:pPr>
        <w:tabs>
          <w:tab w:val="left" w:pos="708"/>
          <w:tab w:val="left" w:pos="1416"/>
          <w:tab w:val="left" w:pos="2124"/>
          <w:tab w:val="left" w:pos="2832"/>
          <w:tab w:val="left" w:pos="3540"/>
          <w:tab w:val="left" w:pos="4248"/>
          <w:tab w:val="left" w:pos="4956"/>
          <w:tab w:val="left" w:pos="5664"/>
          <w:tab w:val="left" w:pos="6372"/>
          <w:tab w:val="left" w:pos="8004"/>
        </w:tabs>
        <w:jc w:val="both"/>
        <w:rPr>
          <w:rFonts w:ascii="Tahoma" w:eastAsiaTheme="minorHAnsi" w:hAnsi="Tahoma" w:cs="Tahoma"/>
          <w:sz w:val="28"/>
          <w:szCs w:val="28"/>
          <w:lang w:eastAsia="en-US"/>
        </w:rPr>
      </w:pPr>
      <w:r w:rsidRPr="002F2CB5">
        <w:rPr>
          <w:rFonts w:ascii="Tahoma" w:eastAsiaTheme="minorHAnsi" w:hAnsi="Tahoma" w:cs="Tahoma"/>
          <w:b/>
          <w:sz w:val="28"/>
          <w:szCs w:val="28"/>
          <w:lang w:val="es-US" w:eastAsia="en-US"/>
        </w:rPr>
        <w:t>1.-</w:t>
      </w:r>
      <w:r w:rsidRPr="002F2CB5">
        <w:rPr>
          <w:rFonts w:ascii="Tahoma" w:eastAsiaTheme="minorHAnsi" w:hAnsi="Tahoma" w:cs="Tahoma"/>
          <w:sz w:val="28"/>
          <w:szCs w:val="28"/>
          <w:lang w:val="es-US" w:eastAsia="en-US"/>
        </w:rPr>
        <w:t xml:space="preserve"> Pase de lista y declaración de quórum legal.</w:t>
      </w:r>
      <w:r w:rsidR="006E05FF" w:rsidRPr="002F2CB5">
        <w:rPr>
          <w:rFonts w:ascii="Tahoma" w:eastAsiaTheme="minorHAnsi" w:hAnsi="Tahoma" w:cs="Tahoma"/>
          <w:sz w:val="28"/>
          <w:szCs w:val="28"/>
          <w:lang w:eastAsia="en-US"/>
        </w:rPr>
        <w:tab/>
      </w:r>
      <w:r w:rsidR="006C786F">
        <w:rPr>
          <w:rFonts w:ascii="Tahoma" w:eastAsiaTheme="minorHAnsi" w:hAnsi="Tahoma" w:cs="Tahoma"/>
          <w:sz w:val="28"/>
          <w:szCs w:val="28"/>
          <w:lang w:eastAsia="en-US"/>
        </w:rPr>
        <w:tab/>
      </w:r>
    </w:p>
    <w:p w14:paraId="5FDF33DF" w14:textId="19002A21" w:rsidR="00025DB7" w:rsidRDefault="00354EA7" w:rsidP="00EC29DA">
      <w:pPr>
        <w:tabs>
          <w:tab w:val="left" w:pos="6150"/>
        </w:tabs>
        <w:jc w:val="both"/>
        <w:rPr>
          <w:rFonts w:ascii="Tahoma" w:eastAsiaTheme="minorHAnsi" w:hAnsi="Tahoma" w:cs="Tahoma"/>
          <w:sz w:val="28"/>
          <w:szCs w:val="28"/>
          <w:lang w:val="es-US" w:eastAsia="en-US"/>
        </w:rPr>
      </w:pPr>
      <w:r w:rsidRPr="002F2CB5">
        <w:rPr>
          <w:rFonts w:ascii="Tahoma" w:eastAsiaTheme="minorHAnsi" w:hAnsi="Tahoma" w:cs="Tahoma"/>
          <w:sz w:val="28"/>
          <w:szCs w:val="28"/>
          <w:lang w:val="es-US" w:eastAsia="en-US"/>
        </w:rPr>
        <w:tab/>
      </w:r>
    </w:p>
    <w:p w14:paraId="365CE2E5" w14:textId="3E29AD5F" w:rsidR="00776930" w:rsidRDefault="00776930" w:rsidP="00EC29DA">
      <w:pPr>
        <w:tabs>
          <w:tab w:val="left" w:pos="6150"/>
        </w:tabs>
        <w:jc w:val="both"/>
        <w:rPr>
          <w:rFonts w:ascii="Tahoma" w:eastAsiaTheme="minorHAnsi" w:hAnsi="Tahoma" w:cs="Tahoma"/>
          <w:sz w:val="28"/>
          <w:szCs w:val="28"/>
          <w:lang w:val="es-US" w:eastAsia="en-US"/>
        </w:rPr>
      </w:pPr>
    </w:p>
    <w:p w14:paraId="5FECEAC7" w14:textId="77777777" w:rsidR="00776930" w:rsidRDefault="00776930" w:rsidP="00EC29DA">
      <w:pPr>
        <w:tabs>
          <w:tab w:val="left" w:pos="6150"/>
        </w:tabs>
        <w:jc w:val="both"/>
        <w:rPr>
          <w:rFonts w:ascii="Tahoma" w:eastAsiaTheme="minorHAnsi" w:hAnsi="Tahoma" w:cs="Tahoma"/>
          <w:sz w:val="28"/>
          <w:szCs w:val="28"/>
          <w:lang w:val="es-US" w:eastAsia="en-US"/>
        </w:rPr>
      </w:pPr>
    </w:p>
    <w:p w14:paraId="59AAE8FA" w14:textId="77777777" w:rsidR="00776930" w:rsidRPr="002F2CB5" w:rsidRDefault="00776930" w:rsidP="00EC29DA">
      <w:pPr>
        <w:tabs>
          <w:tab w:val="left" w:pos="6150"/>
        </w:tabs>
        <w:jc w:val="both"/>
        <w:rPr>
          <w:rFonts w:ascii="Tahoma" w:eastAsiaTheme="minorHAnsi" w:hAnsi="Tahoma" w:cs="Tahoma"/>
          <w:sz w:val="28"/>
          <w:szCs w:val="28"/>
          <w:lang w:val="es-US" w:eastAsia="en-US"/>
        </w:rPr>
      </w:pPr>
    </w:p>
    <w:p w14:paraId="2657D972" w14:textId="4D88FDE0" w:rsidR="002F2CB5" w:rsidRPr="00EC29DA" w:rsidRDefault="001A560F" w:rsidP="00F1199A">
      <w:pPr>
        <w:jc w:val="both"/>
        <w:rPr>
          <w:rFonts w:ascii="Tahoma" w:eastAsiaTheme="minorHAnsi" w:hAnsi="Tahoma" w:cs="Tahoma"/>
          <w:sz w:val="28"/>
          <w:szCs w:val="28"/>
          <w:lang w:val="es-US" w:eastAsia="en-US"/>
        </w:rPr>
      </w:pPr>
      <w:r w:rsidRPr="002F2CB5">
        <w:rPr>
          <w:rFonts w:ascii="Tahoma" w:eastAsiaTheme="minorHAnsi" w:hAnsi="Tahoma" w:cs="Tahoma"/>
          <w:b/>
          <w:sz w:val="28"/>
          <w:szCs w:val="28"/>
          <w:lang w:val="es-US" w:eastAsia="en-US"/>
        </w:rPr>
        <w:t>2.-</w:t>
      </w:r>
      <w:r w:rsidRPr="002F2CB5">
        <w:rPr>
          <w:rFonts w:ascii="Tahoma" w:eastAsiaTheme="minorHAnsi" w:hAnsi="Tahoma" w:cs="Tahoma"/>
          <w:sz w:val="28"/>
          <w:szCs w:val="28"/>
          <w:lang w:val="es-US" w:eastAsia="en-US"/>
        </w:rPr>
        <w:t xml:space="preserve"> Lectura del Orden del Día, y en su caso, aprobación.</w:t>
      </w:r>
      <w:r w:rsidR="009F6FD3" w:rsidRPr="002F2CB5">
        <w:rPr>
          <w:rFonts w:ascii="Tahoma" w:eastAsiaTheme="minorHAnsi" w:hAnsi="Tahoma" w:cs="Tahoma"/>
          <w:sz w:val="28"/>
          <w:szCs w:val="28"/>
          <w:lang w:eastAsia="en-US"/>
        </w:rPr>
        <w:tab/>
      </w:r>
    </w:p>
    <w:p w14:paraId="3B7DD0D4" w14:textId="0CB89C8F" w:rsidR="00025DB7" w:rsidRDefault="00025DB7" w:rsidP="00F1199A">
      <w:pPr>
        <w:jc w:val="both"/>
        <w:rPr>
          <w:rFonts w:ascii="Tahoma" w:eastAsiaTheme="minorHAnsi" w:hAnsi="Tahoma" w:cs="Tahoma"/>
          <w:sz w:val="28"/>
          <w:szCs w:val="28"/>
          <w:lang w:eastAsia="en-US"/>
        </w:rPr>
      </w:pPr>
    </w:p>
    <w:p w14:paraId="215AD658" w14:textId="34DDB0E1" w:rsidR="00776930" w:rsidRDefault="00776930" w:rsidP="00F1199A">
      <w:pPr>
        <w:jc w:val="both"/>
        <w:rPr>
          <w:rFonts w:ascii="Tahoma" w:eastAsiaTheme="minorHAnsi" w:hAnsi="Tahoma" w:cs="Tahoma"/>
          <w:sz w:val="28"/>
          <w:szCs w:val="28"/>
          <w:lang w:eastAsia="en-US"/>
        </w:rPr>
      </w:pPr>
    </w:p>
    <w:p w14:paraId="37D78972" w14:textId="1EF7C942" w:rsidR="00776930" w:rsidRDefault="00776930" w:rsidP="00F1199A">
      <w:pPr>
        <w:jc w:val="both"/>
        <w:rPr>
          <w:rFonts w:ascii="Tahoma" w:eastAsiaTheme="minorHAnsi" w:hAnsi="Tahoma" w:cs="Tahoma"/>
          <w:sz w:val="28"/>
          <w:szCs w:val="28"/>
          <w:lang w:eastAsia="en-US"/>
        </w:rPr>
      </w:pPr>
    </w:p>
    <w:p w14:paraId="22F0B136" w14:textId="77777777" w:rsidR="00776930" w:rsidRPr="002F2CB5" w:rsidRDefault="00776930" w:rsidP="00F1199A">
      <w:pPr>
        <w:jc w:val="both"/>
        <w:rPr>
          <w:rFonts w:ascii="Tahoma" w:eastAsiaTheme="minorHAnsi" w:hAnsi="Tahoma" w:cs="Tahoma"/>
          <w:sz w:val="28"/>
          <w:szCs w:val="28"/>
          <w:lang w:eastAsia="en-US"/>
        </w:rPr>
      </w:pPr>
    </w:p>
    <w:p w14:paraId="06294246" w14:textId="73A01083" w:rsidR="00D328A0" w:rsidRPr="002F2CB5" w:rsidRDefault="001A560F" w:rsidP="00147D9A">
      <w:pPr>
        <w:jc w:val="both"/>
        <w:rPr>
          <w:rFonts w:ascii="Tahoma" w:eastAsiaTheme="minorHAnsi" w:hAnsi="Tahoma" w:cs="Tahoma"/>
          <w:sz w:val="28"/>
          <w:szCs w:val="28"/>
          <w:lang w:val="es-US" w:eastAsia="en-US"/>
        </w:rPr>
      </w:pPr>
      <w:r w:rsidRPr="002F2CB5">
        <w:rPr>
          <w:rFonts w:ascii="Tahoma" w:eastAsiaTheme="minorHAnsi" w:hAnsi="Tahoma" w:cs="Tahoma"/>
          <w:b/>
          <w:sz w:val="28"/>
          <w:szCs w:val="28"/>
          <w:lang w:val="es-US" w:eastAsia="en-US"/>
        </w:rPr>
        <w:t>3.-</w:t>
      </w:r>
      <w:r w:rsidR="00147D9A" w:rsidRPr="002F2CB5">
        <w:rPr>
          <w:rFonts w:ascii="Tahoma" w:eastAsiaTheme="minorHAnsi" w:hAnsi="Tahoma" w:cs="Tahoma"/>
          <w:sz w:val="28"/>
          <w:szCs w:val="28"/>
          <w:lang w:val="es-US" w:eastAsia="en-US"/>
        </w:rPr>
        <w:t xml:space="preserve"> </w:t>
      </w:r>
      <w:r w:rsidR="004B7023" w:rsidRPr="002F2CB5">
        <w:rPr>
          <w:rFonts w:ascii="Tahoma" w:eastAsiaTheme="minorHAnsi" w:hAnsi="Tahoma" w:cs="Tahoma"/>
          <w:sz w:val="28"/>
          <w:szCs w:val="28"/>
          <w:lang w:val="es-US" w:eastAsia="en-US"/>
        </w:rPr>
        <w:t xml:space="preserve">Lectura del Acta de la </w:t>
      </w:r>
      <w:r w:rsidR="004A152E" w:rsidRPr="002F2CB5">
        <w:rPr>
          <w:rFonts w:ascii="Tahoma" w:eastAsiaTheme="minorHAnsi" w:hAnsi="Tahoma" w:cs="Tahoma"/>
          <w:sz w:val="28"/>
          <w:szCs w:val="28"/>
          <w:lang w:val="es-US" w:eastAsia="en-US"/>
        </w:rPr>
        <w:t xml:space="preserve">Sesión </w:t>
      </w:r>
      <w:r w:rsidR="004B7023" w:rsidRPr="002F2CB5">
        <w:rPr>
          <w:rFonts w:ascii="Tahoma" w:eastAsiaTheme="minorHAnsi" w:hAnsi="Tahoma" w:cs="Tahoma"/>
          <w:sz w:val="28"/>
          <w:szCs w:val="28"/>
          <w:lang w:val="es-US" w:eastAsia="en-US"/>
        </w:rPr>
        <w:t>anterior</w:t>
      </w:r>
      <w:r w:rsidR="00E432C9" w:rsidRPr="002F2CB5">
        <w:rPr>
          <w:rFonts w:ascii="Tahoma" w:eastAsiaTheme="minorHAnsi" w:hAnsi="Tahoma" w:cs="Tahoma"/>
          <w:sz w:val="28"/>
          <w:szCs w:val="28"/>
          <w:lang w:val="es-US" w:eastAsia="en-US"/>
        </w:rPr>
        <w:t xml:space="preserve"> de fecha</w:t>
      </w:r>
      <w:r w:rsidR="00280AFC">
        <w:rPr>
          <w:rFonts w:ascii="Tahoma" w:eastAsiaTheme="minorHAnsi" w:hAnsi="Tahoma" w:cs="Tahoma"/>
          <w:sz w:val="28"/>
          <w:szCs w:val="28"/>
          <w:lang w:val="es-US" w:eastAsia="en-US"/>
        </w:rPr>
        <w:t xml:space="preserve"> </w:t>
      </w:r>
      <w:r w:rsidR="006C786F">
        <w:rPr>
          <w:rFonts w:ascii="Tahoma" w:eastAsiaTheme="minorHAnsi" w:hAnsi="Tahoma" w:cs="Tahoma"/>
          <w:sz w:val="28"/>
          <w:szCs w:val="28"/>
          <w:lang w:val="es-US" w:eastAsia="en-US"/>
        </w:rPr>
        <w:t>24</w:t>
      </w:r>
      <w:r w:rsidR="001F7B8A">
        <w:rPr>
          <w:rFonts w:ascii="Tahoma" w:eastAsiaTheme="minorHAnsi" w:hAnsi="Tahoma" w:cs="Tahoma"/>
          <w:sz w:val="28"/>
          <w:szCs w:val="28"/>
          <w:lang w:val="es-US" w:eastAsia="en-US"/>
        </w:rPr>
        <w:t xml:space="preserve"> de mayo</w:t>
      </w:r>
      <w:r w:rsidR="00BB7EAE">
        <w:rPr>
          <w:rFonts w:ascii="Tahoma" w:eastAsiaTheme="minorHAnsi" w:hAnsi="Tahoma" w:cs="Tahoma"/>
          <w:sz w:val="28"/>
          <w:szCs w:val="28"/>
          <w:lang w:val="es-US" w:eastAsia="en-US"/>
        </w:rPr>
        <w:t xml:space="preserve"> de 2021</w:t>
      </w:r>
      <w:r w:rsidR="004B7023" w:rsidRPr="002F2CB5">
        <w:rPr>
          <w:rFonts w:ascii="Tahoma" w:eastAsiaTheme="minorHAnsi" w:hAnsi="Tahoma" w:cs="Tahoma"/>
          <w:sz w:val="28"/>
          <w:szCs w:val="28"/>
          <w:lang w:val="es-US" w:eastAsia="en-US"/>
        </w:rPr>
        <w:t>, y en su caso, aprobación.</w:t>
      </w:r>
    </w:p>
    <w:p w14:paraId="41E6CA03" w14:textId="4DE0B8F8" w:rsidR="004F0E10" w:rsidRDefault="004F0E10" w:rsidP="001F7B8A">
      <w:pPr>
        <w:pStyle w:val="s16"/>
        <w:jc w:val="both"/>
        <w:divId w:val="827670172"/>
        <w:rPr>
          <w:rFonts w:ascii="Tahoma" w:eastAsiaTheme="minorHAnsi" w:hAnsi="Tahoma" w:cs="Tahoma"/>
          <w:b/>
          <w:sz w:val="28"/>
          <w:szCs w:val="28"/>
          <w:lang w:val="es-US" w:eastAsia="en-US"/>
        </w:rPr>
      </w:pPr>
    </w:p>
    <w:p w14:paraId="4124E0CE" w14:textId="77777777" w:rsidR="004F0E10" w:rsidRPr="001F7B8A" w:rsidRDefault="004F0E10" w:rsidP="001F7B8A">
      <w:pPr>
        <w:pStyle w:val="s16"/>
        <w:jc w:val="both"/>
        <w:divId w:val="827670172"/>
        <w:rPr>
          <w:rFonts w:ascii="Tahoma" w:eastAsiaTheme="minorHAnsi" w:hAnsi="Tahoma" w:cs="Tahoma"/>
          <w:b/>
          <w:sz w:val="28"/>
          <w:szCs w:val="28"/>
          <w:lang w:val="es-US" w:eastAsia="en-US"/>
        </w:rPr>
      </w:pPr>
    </w:p>
    <w:p w14:paraId="559B9829" w14:textId="77777777" w:rsidR="00EA2CBD" w:rsidRPr="00EA2CBD" w:rsidRDefault="004F0E10" w:rsidP="00EA2CBD">
      <w:pPr>
        <w:pStyle w:val="s16"/>
        <w:jc w:val="both"/>
        <w:divId w:val="827670172"/>
        <w:rPr>
          <w:rFonts w:ascii="Tahoma" w:eastAsiaTheme="minorHAnsi" w:hAnsi="Tahoma" w:cs="Tahoma"/>
          <w:bCs/>
          <w:sz w:val="28"/>
          <w:szCs w:val="28"/>
          <w:lang w:val="es-US" w:eastAsia="en-US"/>
        </w:rPr>
      </w:pPr>
      <w:r>
        <w:rPr>
          <w:rFonts w:ascii="Tahoma" w:eastAsiaTheme="minorHAnsi" w:hAnsi="Tahoma" w:cs="Tahoma"/>
          <w:b/>
          <w:sz w:val="28"/>
          <w:szCs w:val="28"/>
          <w:lang w:val="es-US" w:eastAsia="en-US"/>
        </w:rPr>
        <w:t>4</w:t>
      </w:r>
      <w:r w:rsidR="001F7B8A" w:rsidRPr="001F7B8A">
        <w:rPr>
          <w:rFonts w:ascii="Tahoma" w:eastAsiaTheme="minorHAnsi" w:hAnsi="Tahoma" w:cs="Tahoma"/>
          <w:b/>
          <w:sz w:val="28"/>
          <w:szCs w:val="28"/>
          <w:lang w:val="es-US" w:eastAsia="en-US"/>
        </w:rPr>
        <w:t xml:space="preserve">.- </w:t>
      </w:r>
      <w:r w:rsidR="00EA2CBD" w:rsidRPr="00EA2CBD">
        <w:rPr>
          <w:rFonts w:ascii="Tahoma" w:eastAsiaTheme="minorHAnsi" w:hAnsi="Tahoma" w:cs="Tahoma"/>
          <w:bCs/>
          <w:sz w:val="28"/>
          <w:szCs w:val="28"/>
          <w:lang w:val="es-US" w:eastAsia="en-US"/>
        </w:rPr>
        <w:t>Lectura del Acuerdo por virtud del cual: “Se exhorta respetuosamente a la Comisión Federal para la Protección contra Riesgos Sanitarios (COFEPRIS) para que estudie la evidencia existente sobre los efectos del uso de dióxido de cloro en el tratamiento contra COVID 19, principalmente con las personas que afirman haber sido curadas con su uso, entre otro resolutivo”, y en su caso, aprobación.</w:t>
      </w:r>
    </w:p>
    <w:p w14:paraId="4D2937B5" w14:textId="77777777" w:rsidR="00EA2CBD" w:rsidRPr="00EA2CBD" w:rsidRDefault="00EA2CBD" w:rsidP="00EA2CBD">
      <w:pPr>
        <w:pStyle w:val="s16"/>
        <w:jc w:val="both"/>
        <w:divId w:val="827670172"/>
        <w:rPr>
          <w:rFonts w:ascii="Tahoma" w:eastAsiaTheme="minorHAnsi" w:hAnsi="Tahoma" w:cs="Tahoma"/>
          <w:b/>
          <w:sz w:val="28"/>
          <w:szCs w:val="28"/>
          <w:lang w:val="es-US" w:eastAsia="en-US"/>
        </w:rPr>
      </w:pPr>
    </w:p>
    <w:p w14:paraId="414AFA4A" w14:textId="77777777" w:rsidR="00EA2CBD" w:rsidRPr="00EA2CBD" w:rsidRDefault="00EA2CBD" w:rsidP="00EA2CBD">
      <w:pPr>
        <w:pStyle w:val="s16"/>
        <w:jc w:val="both"/>
        <w:divId w:val="827670172"/>
        <w:rPr>
          <w:rFonts w:ascii="Tahoma" w:eastAsiaTheme="minorHAnsi" w:hAnsi="Tahoma" w:cs="Tahoma"/>
          <w:b/>
          <w:sz w:val="28"/>
          <w:szCs w:val="28"/>
          <w:lang w:val="es-US" w:eastAsia="en-US"/>
        </w:rPr>
      </w:pPr>
    </w:p>
    <w:p w14:paraId="10A118BE" w14:textId="7470B30F" w:rsidR="003F04DC" w:rsidRPr="001F7B8A" w:rsidRDefault="00EA2CBD" w:rsidP="00EA2CBD">
      <w:pPr>
        <w:pStyle w:val="s16"/>
        <w:jc w:val="both"/>
        <w:divId w:val="827670172"/>
        <w:rPr>
          <w:rFonts w:ascii="Tahoma" w:hAnsi="Tahoma" w:cs="Tahoma"/>
          <w:bCs/>
          <w:color w:val="000000"/>
          <w:sz w:val="28"/>
          <w:szCs w:val="28"/>
        </w:rPr>
      </w:pPr>
      <w:r w:rsidRPr="00EA2CBD">
        <w:rPr>
          <w:rFonts w:ascii="Tahoma" w:eastAsiaTheme="minorHAnsi" w:hAnsi="Tahoma" w:cs="Tahoma"/>
          <w:b/>
          <w:sz w:val="28"/>
          <w:szCs w:val="28"/>
          <w:lang w:val="es-US" w:eastAsia="en-US"/>
        </w:rPr>
        <w:t xml:space="preserve">5.- </w:t>
      </w:r>
      <w:r w:rsidRPr="00EA2CBD">
        <w:rPr>
          <w:rFonts w:ascii="Tahoma" w:eastAsiaTheme="minorHAnsi" w:hAnsi="Tahoma" w:cs="Tahoma"/>
          <w:bCs/>
          <w:sz w:val="28"/>
          <w:szCs w:val="28"/>
          <w:lang w:val="es-US" w:eastAsia="en-US"/>
        </w:rPr>
        <w:t>Asuntos Generales.</w:t>
      </w:r>
    </w:p>
    <w:p w14:paraId="47CF162E" w14:textId="77777777" w:rsidR="00501A7D" w:rsidRPr="002F2CB5" w:rsidRDefault="00501A7D" w:rsidP="00F1199A">
      <w:pPr>
        <w:spacing w:line="360" w:lineRule="auto"/>
        <w:jc w:val="both"/>
        <w:rPr>
          <w:rFonts w:ascii="Tahoma" w:eastAsia="Calibri" w:hAnsi="Tahoma" w:cs="Tahoma"/>
          <w:b/>
          <w:sz w:val="28"/>
          <w:szCs w:val="28"/>
          <w:lang w:val="es-MX" w:eastAsia="en-US"/>
        </w:rPr>
      </w:pPr>
    </w:p>
    <w:sectPr w:rsidR="00501A7D" w:rsidRPr="002F2CB5">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92FD" w14:textId="77777777" w:rsidR="00CA5BE6" w:rsidRDefault="00CA5BE6">
      <w:r>
        <w:separator/>
      </w:r>
    </w:p>
  </w:endnote>
  <w:endnote w:type="continuationSeparator" w:id="0">
    <w:p w14:paraId="6975CF20" w14:textId="77777777" w:rsidR="00CA5BE6" w:rsidRDefault="00CA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Calibri"/>
    <w:panose1 w:val="03010101010201010101"/>
    <w:charset w:val="00"/>
    <w:family w:val="script"/>
    <w:pitch w:val="variable"/>
    <w:sig w:usb0="00000287" w:usb1="00000000" w:usb2="00000000" w:usb3="00000000" w:csb0="0000009F" w:csb1="00000000"/>
  </w:font>
  <w:font w:name="Lucida Handwriting">
    <w:altName w:val="Calibri"/>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3F96" w14:textId="77777777" w:rsidR="00CA5BE6" w:rsidRDefault="00CA5BE6">
      <w:r>
        <w:separator/>
      </w:r>
    </w:p>
  </w:footnote>
  <w:footnote w:type="continuationSeparator" w:id="0">
    <w:p w14:paraId="4B1DCCEA" w14:textId="77777777" w:rsidR="00CA5BE6" w:rsidRDefault="00CA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265C11CD" w:rsidR="00C66D09" w:rsidRPr="007937C5" w:rsidRDefault="007937C5" w:rsidP="007937C5">
    <w:pPr>
      <w:pStyle w:val="Encabezado"/>
      <w:spacing w:line="140" w:lineRule="atLeast"/>
      <w:ind w:left="1560" w:right="-316" w:hanging="851"/>
      <w:jc w:val="center"/>
      <w:rPr>
        <w:rFonts w:ascii="Lucida Handwriting" w:hAnsi="Lucida Handwriting"/>
        <w:bCs/>
        <w:sz w:val="20"/>
        <w:szCs w:val="20"/>
        <w:lang w:val="es-MX"/>
      </w:rPr>
    </w:pPr>
    <w:r>
      <w:rPr>
        <w:rFonts w:ascii="Lucida Handwriting" w:hAnsi="Lucida Handwriting"/>
        <w:sz w:val="16"/>
        <w:szCs w:val="16"/>
      </w:rPr>
      <w:t xml:space="preserve">       “2021, 375 años de la fundación de la Biblioteca </w:t>
    </w:r>
    <w:proofErr w:type="gramStart"/>
    <w:r>
      <w:rPr>
        <w:rFonts w:ascii="Lucida Handwriting" w:hAnsi="Lucida Handwriting"/>
        <w:sz w:val="16"/>
        <w:szCs w:val="16"/>
      </w:rPr>
      <w:t xml:space="preserve">Palafoxiana”   </w:t>
    </w:r>
    <w:proofErr w:type="gramEnd"/>
    <w:r w:rsidR="00D17F96">
      <w:rPr>
        <w:noProof/>
        <w:lang w:val="es-MX" w:eastAsia="es-MX"/>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p>
  <w:p w14:paraId="3E791F28" w14:textId="75D0FDDD" w:rsidR="002253E6" w:rsidRPr="00C30853"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E94630">
      <w:rPr>
        <w:rFonts w:ascii="Tahoma" w:hAnsi="Tahoma" w:cs="Tahoma"/>
        <w:b/>
        <w:bCs/>
        <w:sz w:val="34"/>
        <w:szCs w:val="34"/>
      </w:rPr>
      <w:t xml:space="preserve"> </w:t>
    </w:r>
    <w:r w:rsidR="00DC3581">
      <w:rPr>
        <w:rFonts w:ascii="Tahoma" w:hAnsi="Tahoma" w:cs="Tahoma"/>
        <w:b/>
        <w:bCs/>
        <w:sz w:val="34"/>
        <w:szCs w:val="34"/>
      </w:rPr>
      <w:t>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25DB7"/>
    <w:rsid w:val="000307B5"/>
    <w:rsid w:val="00032D4C"/>
    <w:rsid w:val="00052731"/>
    <w:rsid w:val="000647AB"/>
    <w:rsid w:val="000761D2"/>
    <w:rsid w:val="00086927"/>
    <w:rsid w:val="000A5742"/>
    <w:rsid w:val="000A7E06"/>
    <w:rsid w:val="000D2685"/>
    <w:rsid w:val="000E1BA6"/>
    <w:rsid w:val="000E1C0F"/>
    <w:rsid w:val="000E76A8"/>
    <w:rsid w:val="000F1978"/>
    <w:rsid w:val="00115789"/>
    <w:rsid w:val="001160F1"/>
    <w:rsid w:val="0011785C"/>
    <w:rsid w:val="00120D2C"/>
    <w:rsid w:val="001348C1"/>
    <w:rsid w:val="00147D9A"/>
    <w:rsid w:val="001502FA"/>
    <w:rsid w:val="00150CD8"/>
    <w:rsid w:val="001706BE"/>
    <w:rsid w:val="001877A0"/>
    <w:rsid w:val="00197717"/>
    <w:rsid w:val="001A52CB"/>
    <w:rsid w:val="001A560F"/>
    <w:rsid w:val="001C5850"/>
    <w:rsid w:val="001D0E3A"/>
    <w:rsid w:val="001D3F97"/>
    <w:rsid w:val="001E1DBD"/>
    <w:rsid w:val="001E1E1A"/>
    <w:rsid w:val="001E5F6E"/>
    <w:rsid w:val="001E69D5"/>
    <w:rsid w:val="001F7B8A"/>
    <w:rsid w:val="00210B58"/>
    <w:rsid w:val="00216515"/>
    <w:rsid w:val="002239FB"/>
    <w:rsid w:val="002253E6"/>
    <w:rsid w:val="00225E7C"/>
    <w:rsid w:val="002346E2"/>
    <w:rsid w:val="00240CFA"/>
    <w:rsid w:val="002524D7"/>
    <w:rsid w:val="00252822"/>
    <w:rsid w:val="00273E08"/>
    <w:rsid w:val="00280AFC"/>
    <w:rsid w:val="00281575"/>
    <w:rsid w:val="00287D89"/>
    <w:rsid w:val="00297BF5"/>
    <w:rsid w:val="002A2954"/>
    <w:rsid w:val="002A547D"/>
    <w:rsid w:val="002B6A4A"/>
    <w:rsid w:val="002E7E04"/>
    <w:rsid w:val="002F2CB5"/>
    <w:rsid w:val="00335B2E"/>
    <w:rsid w:val="00354EA7"/>
    <w:rsid w:val="00356CA5"/>
    <w:rsid w:val="003577A9"/>
    <w:rsid w:val="00361FFE"/>
    <w:rsid w:val="0036572E"/>
    <w:rsid w:val="00375251"/>
    <w:rsid w:val="00377E9C"/>
    <w:rsid w:val="00395462"/>
    <w:rsid w:val="003A7AA5"/>
    <w:rsid w:val="003B3242"/>
    <w:rsid w:val="003F04DC"/>
    <w:rsid w:val="004104ED"/>
    <w:rsid w:val="00411A3A"/>
    <w:rsid w:val="0045074C"/>
    <w:rsid w:val="0045604D"/>
    <w:rsid w:val="004615D0"/>
    <w:rsid w:val="004622AE"/>
    <w:rsid w:val="00481CD7"/>
    <w:rsid w:val="00483742"/>
    <w:rsid w:val="004A152E"/>
    <w:rsid w:val="004B40C8"/>
    <w:rsid w:val="004B7023"/>
    <w:rsid w:val="004D2ACD"/>
    <w:rsid w:val="004F0E10"/>
    <w:rsid w:val="004F29A2"/>
    <w:rsid w:val="004F7BC9"/>
    <w:rsid w:val="00501A7D"/>
    <w:rsid w:val="00504B62"/>
    <w:rsid w:val="0051254C"/>
    <w:rsid w:val="00515026"/>
    <w:rsid w:val="00515B0D"/>
    <w:rsid w:val="00524A14"/>
    <w:rsid w:val="00533B2E"/>
    <w:rsid w:val="005358F3"/>
    <w:rsid w:val="0054373D"/>
    <w:rsid w:val="00557ADF"/>
    <w:rsid w:val="00577730"/>
    <w:rsid w:val="005C1232"/>
    <w:rsid w:val="005C5F32"/>
    <w:rsid w:val="005D0590"/>
    <w:rsid w:val="005F5D6D"/>
    <w:rsid w:val="005F6CAC"/>
    <w:rsid w:val="0060173E"/>
    <w:rsid w:val="006123A7"/>
    <w:rsid w:val="0061593F"/>
    <w:rsid w:val="0062135F"/>
    <w:rsid w:val="006268C1"/>
    <w:rsid w:val="00641D0A"/>
    <w:rsid w:val="0065365E"/>
    <w:rsid w:val="00670605"/>
    <w:rsid w:val="00674A9D"/>
    <w:rsid w:val="006877AE"/>
    <w:rsid w:val="006A06E9"/>
    <w:rsid w:val="006A2035"/>
    <w:rsid w:val="006A5C8D"/>
    <w:rsid w:val="006A60D4"/>
    <w:rsid w:val="006B6C7E"/>
    <w:rsid w:val="006C5E35"/>
    <w:rsid w:val="006C786F"/>
    <w:rsid w:val="006E05FF"/>
    <w:rsid w:val="006F2FB2"/>
    <w:rsid w:val="006F3811"/>
    <w:rsid w:val="006F759F"/>
    <w:rsid w:val="007013CC"/>
    <w:rsid w:val="00701819"/>
    <w:rsid w:val="00714A73"/>
    <w:rsid w:val="007242CE"/>
    <w:rsid w:val="007313C4"/>
    <w:rsid w:val="0073435E"/>
    <w:rsid w:val="00755F5F"/>
    <w:rsid w:val="00755F8D"/>
    <w:rsid w:val="0076010F"/>
    <w:rsid w:val="00766C63"/>
    <w:rsid w:val="00767460"/>
    <w:rsid w:val="00776930"/>
    <w:rsid w:val="007937C5"/>
    <w:rsid w:val="00795B75"/>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84093"/>
    <w:rsid w:val="00887C41"/>
    <w:rsid w:val="008956A4"/>
    <w:rsid w:val="008A0527"/>
    <w:rsid w:val="008C6F0D"/>
    <w:rsid w:val="008E629A"/>
    <w:rsid w:val="00903DAA"/>
    <w:rsid w:val="009152A9"/>
    <w:rsid w:val="0091615D"/>
    <w:rsid w:val="00920F1A"/>
    <w:rsid w:val="009418E7"/>
    <w:rsid w:val="009565D6"/>
    <w:rsid w:val="00963255"/>
    <w:rsid w:val="00967A29"/>
    <w:rsid w:val="0097600D"/>
    <w:rsid w:val="00987846"/>
    <w:rsid w:val="00987CF2"/>
    <w:rsid w:val="00993122"/>
    <w:rsid w:val="009C61E6"/>
    <w:rsid w:val="009D269B"/>
    <w:rsid w:val="009D315D"/>
    <w:rsid w:val="009F6FD3"/>
    <w:rsid w:val="00A033E6"/>
    <w:rsid w:val="00A0539B"/>
    <w:rsid w:val="00A16316"/>
    <w:rsid w:val="00A50C5C"/>
    <w:rsid w:val="00A664A5"/>
    <w:rsid w:val="00A71522"/>
    <w:rsid w:val="00A81236"/>
    <w:rsid w:val="00A85F1D"/>
    <w:rsid w:val="00A97D58"/>
    <w:rsid w:val="00AB492F"/>
    <w:rsid w:val="00AB5939"/>
    <w:rsid w:val="00AC1AAB"/>
    <w:rsid w:val="00AC6C32"/>
    <w:rsid w:val="00AD13F0"/>
    <w:rsid w:val="00AD34F9"/>
    <w:rsid w:val="00AE7BBD"/>
    <w:rsid w:val="00AF0B10"/>
    <w:rsid w:val="00AF0FFB"/>
    <w:rsid w:val="00AF13F3"/>
    <w:rsid w:val="00AF3B14"/>
    <w:rsid w:val="00B5278D"/>
    <w:rsid w:val="00B6511F"/>
    <w:rsid w:val="00B7697F"/>
    <w:rsid w:val="00B7751C"/>
    <w:rsid w:val="00B85000"/>
    <w:rsid w:val="00B85795"/>
    <w:rsid w:val="00B87099"/>
    <w:rsid w:val="00B87FD5"/>
    <w:rsid w:val="00BA0D81"/>
    <w:rsid w:val="00BA2B06"/>
    <w:rsid w:val="00BA374F"/>
    <w:rsid w:val="00BB7EAE"/>
    <w:rsid w:val="00BC2AF6"/>
    <w:rsid w:val="00BD4C01"/>
    <w:rsid w:val="00BD61B9"/>
    <w:rsid w:val="00BE5EAA"/>
    <w:rsid w:val="00C10F95"/>
    <w:rsid w:val="00C14137"/>
    <w:rsid w:val="00C30853"/>
    <w:rsid w:val="00C3201D"/>
    <w:rsid w:val="00C338E6"/>
    <w:rsid w:val="00C34DE0"/>
    <w:rsid w:val="00C66D09"/>
    <w:rsid w:val="00CA13F3"/>
    <w:rsid w:val="00CA5BE6"/>
    <w:rsid w:val="00CA7488"/>
    <w:rsid w:val="00CB5C98"/>
    <w:rsid w:val="00CD6E3E"/>
    <w:rsid w:val="00CE1CEA"/>
    <w:rsid w:val="00CF42D9"/>
    <w:rsid w:val="00D05985"/>
    <w:rsid w:val="00D17F96"/>
    <w:rsid w:val="00D25909"/>
    <w:rsid w:val="00D27C23"/>
    <w:rsid w:val="00D30B3B"/>
    <w:rsid w:val="00D328A0"/>
    <w:rsid w:val="00D41B4E"/>
    <w:rsid w:val="00D422BA"/>
    <w:rsid w:val="00D44D0F"/>
    <w:rsid w:val="00D51B9A"/>
    <w:rsid w:val="00D52E1C"/>
    <w:rsid w:val="00D62BAE"/>
    <w:rsid w:val="00D9436E"/>
    <w:rsid w:val="00DA22DE"/>
    <w:rsid w:val="00DB0A08"/>
    <w:rsid w:val="00DB3D80"/>
    <w:rsid w:val="00DB4EEB"/>
    <w:rsid w:val="00DC11C3"/>
    <w:rsid w:val="00DC3581"/>
    <w:rsid w:val="00DD5A9F"/>
    <w:rsid w:val="00DD5C8D"/>
    <w:rsid w:val="00DE00E1"/>
    <w:rsid w:val="00DE0915"/>
    <w:rsid w:val="00DE1E19"/>
    <w:rsid w:val="00DE238D"/>
    <w:rsid w:val="00E0058E"/>
    <w:rsid w:val="00E076ED"/>
    <w:rsid w:val="00E17429"/>
    <w:rsid w:val="00E233CD"/>
    <w:rsid w:val="00E35DDB"/>
    <w:rsid w:val="00E432C9"/>
    <w:rsid w:val="00E60CA0"/>
    <w:rsid w:val="00E94630"/>
    <w:rsid w:val="00EA2CBD"/>
    <w:rsid w:val="00EA6705"/>
    <w:rsid w:val="00EB4BEF"/>
    <w:rsid w:val="00EC29DA"/>
    <w:rsid w:val="00ED0093"/>
    <w:rsid w:val="00ED6457"/>
    <w:rsid w:val="00EE253D"/>
    <w:rsid w:val="00EF5152"/>
    <w:rsid w:val="00F1199A"/>
    <w:rsid w:val="00F12823"/>
    <w:rsid w:val="00F20AAC"/>
    <w:rsid w:val="00F23DCA"/>
    <w:rsid w:val="00F23E7C"/>
    <w:rsid w:val="00F372E3"/>
    <w:rsid w:val="00F44394"/>
    <w:rsid w:val="00F649C2"/>
    <w:rsid w:val="00F87840"/>
    <w:rsid w:val="00F9070A"/>
    <w:rsid w:val="00FB0A3D"/>
    <w:rsid w:val="00FC1CF3"/>
    <w:rsid w:val="00FC4380"/>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01403F4D-E248-4ADB-9BD3-5B27FCB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sChild>
    </w:div>
    <w:div w:id="844246181">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9</cp:revision>
  <cp:lastPrinted>2020-09-03T19:35:00Z</cp:lastPrinted>
  <dcterms:created xsi:type="dcterms:W3CDTF">2021-05-31T16:21:00Z</dcterms:created>
  <dcterms:modified xsi:type="dcterms:W3CDTF">2021-05-31T16:23:00Z</dcterms:modified>
</cp:coreProperties>
</file>